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B9FD" w14:textId="77777777" w:rsidR="001B2C36" w:rsidRDefault="001B2C36" w:rsidP="001B2C3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OBRAZLOŽENJE</w:t>
      </w:r>
      <w:r>
        <w:rPr>
          <w:rStyle w:val="eop"/>
        </w:rPr>
        <w:t> </w:t>
      </w:r>
    </w:p>
    <w:p w14:paraId="03C1FFA6" w14:textId="77777777" w:rsidR="001B2C36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 </w:t>
      </w:r>
    </w:p>
    <w:p w14:paraId="5E844DE7" w14:textId="77777777" w:rsidR="00FA0600" w:rsidRDefault="00FA0600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A0919BC" w14:textId="77777777" w:rsidR="00FA0600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>
        <w:rPr>
          <w:rStyle w:val="normaltextrun"/>
        </w:rPr>
        <w:t xml:space="preserve">Člankom 41. točkom </w:t>
      </w:r>
      <w:r w:rsidR="00FA0600">
        <w:rPr>
          <w:rStyle w:val="normaltextrun"/>
        </w:rPr>
        <w:t>2</w:t>
      </w:r>
      <w:r>
        <w:rPr>
          <w:rStyle w:val="normaltextrun"/>
        </w:rPr>
        <w:t xml:space="preserve">. Statuta Grada Zagreba (Službeni glasnik Grada Zagreba 23/16, 2/18, 23/18, 3/20, 3/21, 11/21 </w:t>
      </w:r>
      <w:r w:rsidR="00FA0600">
        <w:rPr>
          <w:rStyle w:val="normaltextrun"/>
        </w:rPr>
        <w:t>-</w:t>
      </w:r>
      <w:r>
        <w:rPr>
          <w:rStyle w:val="normaltextrun"/>
        </w:rPr>
        <w:t xml:space="preserve"> pročišćeni tekst i 16/22) propisano je da Gradska skupština Grada Zagreba donosi </w:t>
      </w:r>
      <w:r w:rsidR="00FA0600">
        <w:rPr>
          <w:color w:val="000000"/>
          <w:shd w:val="clear" w:color="auto" w:fill="FFFFFF"/>
        </w:rPr>
        <w:t>odluke i druge opće akte kojima uređuje pitanja iz samoupravnog djelokruga Grada Zagreba</w:t>
      </w:r>
      <w:r w:rsidR="00FA0600">
        <w:rPr>
          <w:color w:val="000000"/>
          <w:shd w:val="clear" w:color="auto" w:fill="FFFFFF"/>
        </w:rPr>
        <w:t>.</w:t>
      </w:r>
    </w:p>
    <w:p w14:paraId="2EE78689" w14:textId="77777777" w:rsidR="00FA0600" w:rsidRPr="00FA0600" w:rsidRDefault="00FA0600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trike/>
          <w:sz w:val="18"/>
          <w:szCs w:val="18"/>
        </w:rPr>
      </w:pPr>
    </w:p>
    <w:p w14:paraId="28F9EA02" w14:textId="6EF7FA99" w:rsidR="001B2C36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U razdoblju od 2003. do 2026. Grad Zagreb </w:t>
      </w:r>
      <w:r w:rsidR="00FA0600">
        <w:rPr>
          <w:rStyle w:val="normaltextrun"/>
        </w:rPr>
        <w:t>je</w:t>
      </w:r>
      <w:r w:rsidR="00FA0600">
        <w:rPr>
          <w:rStyle w:val="normaltextrun"/>
        </w:rPr>
        <w:t xml:space="preserve"> </w:t>
      </w:r>
      <w:r>
        <w:rPr>
          <w:rStyle w:val="normaltextrun"/>
        </w:rPr>
        <w:t>donio pet strateških dokumenata u području izjednačavanja mogućnosti za osobe s invaliditetom: Zagrebačku strategiju jedinstvene politike za osobe s invaliditetom za razdoblje od 2003. do 2006. (Službeni glasnik Grada Zagreba 5/03), Zagrebačku strategiju izjednačavanja mogućnosti za osobe s invaliditetom u razdoblju od 2007. do 2010. (Službeni glasnik Grada Zagreba 5/07), Zagrebačku strategiju izjednačavanja mogućnosti za osobe s invaliditetom u razdoblju od 2011. do 2015. (Službeni glasnik Grada Zagreba 5/11), Zagrebačku strategiju izjednačavanja mogućnosti za osobe s invaliditetom u razdoblju od 2016. do 2020. (Službeni glasnik Grada Zagreba 4/16 i 10/18) te Zagrebačku strategiju izjednačavanja mogućnosti za osobe s invaliditetom u razdoblju od 2022. do 2025. (Službeni glasnik Grada Zagreba 22/22), čija je provedba produljena do kraja 2026. (Službeni glasnik Grada Zagreba 5/26).</w:t>
      </w:r>
      <w:r>
        <w:rPr>
          <w:rStyle w:val="eop"/>
        </w:rPr>
        <w:t> </w:t>
      </w:r>
    </w:p>
    <w:p w14:paraId="16930966" w14:textId="77777777" w:rsidR="001B2C36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1DC4A26" w14:textId="66107F9D" w:rsidR="001B2C36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Prijedlog Zagrebačke strategije izjednačavanja mogućnosti za djecu s teškoćama u razvoju i osobe s invaliditetom u razdoblju od 2027. do 2030. (u daljnjem tekstu: Prijedlog Zagrebačke strategije 2027.</w:t>
      </w:r>
      <w:r w:rsidR="00FA0600">
        <w:rPr>
          <w:rStyle w:val="normaltextrun"/>
        </w:rPr>
        <w:t xml:space="preserve"> - </w:t>
      </w:r>
      <w:r>
        <w:rPr>
          <w:rStyle w:val="normaltextrun"/>
        </w:rPr>
        <w:t>2030.) usklađen je s Konvencijom Ujedinjenih naroda o pravima osoba s invaliditetom, dokumentom Unija ravnopravnosti: Strategija o pravima osoba s invaliditetom za razdoblje 2021.–2030. Europske komisije, Komunikacijom Europske komisije Unapređenje Strategije o pravima osoba s invaliditetom za razdoblje do 2030. iz 2026., Nacionalnim planom izjednačavanja mogućnosti za osobe s invaliditetom za razdoblje od 2021. do 2027., preporukama Pravobranitelja za osobe s invaliditetom te drugim relevantnim zakonodavnim i strateškim dokumentima Europske unije i Republike Hrvatske.</w:t>
      </w:r>
      <w:r>
        <w:rPr>
          <w:rStyle w:val="eop"/>
        </w:rPr>
        <w:t> </w:t>
      </w:r>
    </w:p>
    <w:p w14:paraId="1B156135" w14:textId="77777777" w:rsidR="001B2C36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E3EFA15" w14:textId="77777777" w:rsidR="001B2C36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Prijedlog Zagrebačke strategije 2027. - 2030. temelji se na iskustvima i rezultatima provedbe prethodnih zagrebačkih strategija te na rezultatima provedenog savjetovanja o postignućima i rezultatima dosadašnje provedbe mjera i aktivnosti, kao i o prioritetima za sljedeće provedbeno razdoblje.</w:t>
      </w:r>
      <w:r>
        <w:rPr>
          <w:rStyle w:val="eop"/>
        </w:rPr>
        <w:t> </w:t>
      </w:r>
    </w:p>
    <w:p w14:paraId="710CCA92" w14:textId="77777777" w:rsidR="001B2C36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2C4462B" w14:textId="214416A7" w:rsidR="001B2C36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Glavni cilj Prijedloga Zagrebačke strategije 2027. - 2030., </w:t>
      </w:r>
      <w:r w:rsidR="00FA0600">
        <w:rPr>
          <w:rStyle w:val="normaltextrun"/>
        </w:rPr>
        <w:t>je</w:t>
      </w:r>
      <w:r w:rsidR="00FA0600">
        <w:rPr>
          <w:rStyle w:val="normaltextrun"/>
        </w:rPr>
        <w:t xml:space="preserve"> </w:t>
      </w:r>
      <w:r>
        <w:rPr>
          <w:rStyle w:val="normaltextrun"/>
        </w:rPr>
        <w:t>sprječavanje i suzbijanje diskriminacije te unapređivanje uvjeta za ravnopravno sudjelovanje i neovisno življenje djece s teškoćama u razvoju i osoba s invaliditetom u Gradu Zagrebu. Tijekom razdoblja primjene Strategije Grad Zagreb provodit će mjere i aktivnosti u sljedećim područjima: Odgoj i obrazovanje, Rad i zapošljavanje, Socijalna zaštita i neovisno življenje, Zdravstvena zaštita i rehabilitacija, Pristupačnost, mobilnost i digitalno uključivanje, Participacija i civilno društvo, Kultura i turizam te Sport i slobodno vrijeme.</w:t>
      </w:r>
      <w:r>
        <w:rPr>
          <w:rStyle w:val="eop"/>
        </w:rPr>
        <w:t> </w:t>
      </w:r>
    </w:p>
    <w:p w14:paraId="0EC48E4E" w14:textId="77777777" w:rsidR="001B2C36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5940008" w14:textId="77777777" w:rsidR="001B2C36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Sredstva potrebna za provedbu Strategije planirat će se u Proračunu Grada Zagreba i projekcijama za naredno razdoblje, u razdjelima nadležnih gradskih upravnih tijela, u skladu s planiranom dinamikom provedbe pojedinih mjera i aktivnosti.</w:t>
      </w:r>
      <w:r>
        <w:rPr>
          <w:rStyle w:val="eop"/>
        </w:rPr>
        <w:t> </w:t>
      </w:r>
    </w:p>
    <w:p w14:paraId="39D20780" w14:textId="77777777" w:rsidR="001B2C36" w:rsidRDefault="001B2C36" w:rsidP="001B2C3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5699D7E" w14:textId="09F66AFC" w:rsidR="00B43C98" w:rsidRDefault="001B2C36" w:rsidP="007F50B1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Mjere i aktivnosti provodit će gradska upravna tijela u suradnji s Povjerenstvom za osobe s invaliditetom Grada Zagreba, tijelima državne uprave, ustanovama i trgovačkim društvima u vlasništvu Grada Zagreba, udrugama osoba s invaliditetom, udrugama koje programski djeluju u korist osoba s invaliditetom te drugim relevantnim dionicima.</w:t>
      </w:r>
      <w:r>
        <w:rPr>
          <w:rStyle w:val="eop"/>
        </w:rPr>
        <w:t> </w:t>
      </w:r>
    </w:p>
    <w:sectPr w:rsidR="00B43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C36"/>
    <w:rsid w:val="001B2C36"/>
    <w:rsid w:val="005F10F9"/>
    <w:rsid w:val="007F50B1"/>
    <w:rsid w:val="00B43C98"/>
    <w:rsid w:val="00CF1B57"/>
    <w:rsid w:val="00FA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31B3"/>
  <w15:chartTrackingRefBased/>
  <w15:docId w15:val="{98B428C6-9B48-4D38-9A52-4033DEA1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B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DefaultParagraphFont"/>
    <w:rsid w:val="001B2C36"/>
  </w:style>
  <w:style w:type="character" w:customStyle="1" w:styleId="eop">
    <w:name w:val="eop"/>
    <w:basedOn w:val="DefaultParagraphFont"/>
    <w:rsid w:val="001B2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Salacan</dc:creator>
  <cp:keywords/>
  <dc:description/>
  <cp:lastModifiedBy>Tihana Zadro</cp:lastModifiedBy>
  <cp:revision>3</cp:revision>
  <dcterms:created xsi:type="dcterms:W3CDTF">2026-08-19T12:57:00Z</dcterms:created>
  <dcterms:modified xsi:type="dcterms:W3CDTF">2026-08-27T12:33:00Z</dcterms:modified>
</cp:coreProperties>
</file>